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19B9" w:rsidRPr="00857141" w:rsidRDefault="000A27D8" w:rsidP="000A27D8">
      <w:pPr>
        <w:jc w:val="center"/>
        <w:rPr>
          <w:rFonts w:cstheme="minorHAnsi"/>
          <w:b/>
          <w:sz w:val="28"/>
          <w:szCs w:val="24"/>
        </w:rPr>
      </w:pPr>
      <w:r w:rsidRPr="00857141">
        <w:rPr>
          <w:rFonts w:cstheme="minorHAnsi"/>
          <w:b/>
          <w:noProof/>
          <w:sz w:val="28"/>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4FE1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857141">
        <w:rPr>
          <w:rFonts w:cstheme="minorHAnsi"/>
          <w:b/>
          <w:noProof/>
          <w:sz w:val="28"/>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299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857141">
        <w:rPr>
          <w:rFonts w:cstheme="minorHAnsi"/>
          <w:b/>
          <w:sz w:val="28"/>
          <w:szCs w:val="24"/>
        </w:rPr>
        <w:t>Summary of Content Changes</w:t>
      </w:r>
      <w:r w:rsidR="000A751A" w:rsidRPr="00857141">
        <w:rPr>
          <w:rFonts w:cstheme="minorHAnsi"/>
          <w:b/>
          <w:sz w:val="28"/>
          <w:szCs w:val="24"/>
        </w:rPr>
        <w:br/>
        <w:t>201</w:t>
      </w:r>
      <w:r w:rsidR="00354E7B" w:rsidRPr="00857141">
        <w:rPr>
          <w:rFonts w:cstheme="minorHAnsi"/>
          <w:b/>
          <w:sz w:val="28"/>
          <w:szCs w:val="24"/>
        </w:rPr>
        <w:t>7</w:t>
      </w:r>
      <w:r w:rsidR="000A751A" w:rsidRPr="00857141">
        <w:rPr>
          <w:rFonts w:cstheme="minorHAnsi"/>
          <w:b/>
          <w:sz w:val="28"/>
          <w:szCs w:val="24"/>
        </w:rPr>
        <w:t>.</w:t>
      </w:r>
      <w:r w:rsidR="009A4C1F" w:rsidRPr="00857141">
        <w:rPr>
          <w:rFonts w:cstheme="minorHAnsi"/>
          <w:b/>
          <w:sz w:val="28"/>
          <w:szCs w:val="24"/>
        </w:rPr>
        <w:t>2</w:t>
      </w:r>
      <w:r w:rsidR="000A751A" w:rsidRPr="00857141">
        <w:rPr>
          <w:rFonts w:cstheme="minorHAnsi"/>
          <w:b/>
          <w:sz w:val="28"/>
          <w:szCs w:val="24"/>
        </w:rPr>
        <w:t xml:space="preserve"> Update – </w:t>
      </w:r>
      <w:r w:rsidR="009A4C1F" w:rsidRPr="00857141">
        <w:rPr>
          <w:rFonts w:cstheme="minorHAnsi"/>
          <w:b/>
          <w:sz w:val="28"/>
          <w:szCs w:val="24"/>
        </w:rPr>
        <w:t>March</w:t>
      </w:r>
      <w:r w:rsidR="00354E7B" w:rsidRPr="00857141">
        <w:rPr>
          <w:rFonts w:cstheme="minorHAnsi"/>
          <w:b/>
          <w:sz w:val="28"/>
          <w:szCs w:val="24"/>
        </w:rPr>
        <w:t xml:space="preserve"> 2017</w:t>
      </w:r>
    </w:p>
    <w:p w:rsidR="00061545" w:rsidRPr="00857141" w:rsidRDefault="00061545">
      <w:pPr>
        <w:rPr>
          <w:rFonts w:cstheme="minorHAnsi"/>
          <w:b/>
          <w:sz w:val="24"/>
          <w:szCs w:val="24"/>
          <w:u w:val="single"/>
        </w:rPr>
      </w:pPr>
    </w:p>
    <w:p w:rsidR="00BB140A" w:rsidRPr="00857141" w:rsidRDefault="00BB140A">
      <w:pPr>
        <w:rPr>
          <w:rFonts w:cstheme="minorHAnsi"/>
          <w:b/>
          <w:sz w:val="24"/>
          <w:szCs w:val="24"/>
          <w:u w:val="single"/>
        </w:rPr>
      </w:pPr>
      <w:r w:rsidRPr="00857141">
        <w:rPr>
          <w:rFonts w:cstheme="minorHAnsi"/>
          <w:b/>
          <w:sz w:val="24"/>
          <w:szCs w:val="24"/>
          <w:u w:val="single"/>
        </w:rPr>
        <w:t>General Notes</w:t>
      </w:r>
    </w:p>
    <w:p w:rsidR="007837CD" w:rsidRPr="00857141" w:rsidRDefault="007837CD" w:rsidP="00B52136">
      <w:pPr>
        <w:rPr>
          <w:rFonts w:cstheme="minorHAnsi"/>
          <w:sz w:val="24"/>
          <w:szCs w:val="24"/>
        </w:rPr>
      </w:pPr>
      <w:r w:rsidRPr="00857141">
        <w:rPr>
          <w:rFonts w:cstheme="minorHAnsi"/>
          <w:sz w:val="24"/>
          <w:szCs w:val="24"/>
        </w:rPr>
        <w:t>There were a few regulatory changes made in the first</w:t>
      </w:r>
      <w:r w:rsidR="00DE05A2" w:rsidRPr="00857141">
        <w:rPr>
          <w:rFonts w:cstheme="minorHAnsi"/>
          <w:sz w:val="24"/>
          <w:szCs w:val="24"/>
        </w:rPr>
        <w:t xml:space="preserve"> quarter of 2017 that impacted</w:t>
      </w:r>
      <w:r w:rsidRPr="00857141">
        <w:rPr>
          <w:rFonts w:cstheme="minorHAnsi"/>
          <w:sz w:val="24"/>
          <w:szCs w:val="24"/>
        </w:rPr>
        <w:t xml:space="preserve"> our policy revisions</w:t>
      </w:r>
      <w:r w:rsidR="00DE05A2" w:rsidRPr="00857141">
        <w:rPr>
          <w:rFonts w:cstheme="minorHAnsi"/>
          <w:sz w:val="24"/>
          <w:szCs w:val="24"/>
        </w:rPr>
        <w:t xml:space="preserve"> for this release</w:t>
      </w:r>
      <w:r w:rsidRPr="00857141">
        <w:rPr>
          <w:rFonts w:cstheme="minorHAnsi"/>
          <w:sz w:val="24"/>
          <w:szCs w:val="24"/>
        </w:rPr>
        <w:t xml:space="preserve">.  The first was related to the NCUA’s </w:t>
      </w:r>
      <w:hyperlink r:id="rId5" w:history="1">
        <w:r w:rsidRPr="00857141">
          <w:rPr>
            <w:rStyle w:val="Hyperlink"/>
            <w:rFonts w:cstheme="minorHAnsi"/>
            <w:sz w:val="24"/>
            <w:szCs w:val="24"/>
          </w:rPr>
          <w:t>Chartering and Field of Membership Manual</w:t>
        </w:r>
      </w:hyperlink>
      <w:r w:rsidRPr="00857141">
        <w:rPr>
          <w:rFonts w:cstheme="minorHAnsi"/>
          <w:sz w:val="24"/>
          <w:szCs w:val="24"/>
        </w:rPr>
        <w:t xml:space="preserve"> for federal credit unions, which impact</w:t>
      </w:r>
      <w:r w:rsidR="00DE05A2" w:rsidRPr="00857141">
        <w:rPr>
          <w:rFonts w:cstheme="minorHAnsi"/>
          <w:sz w:val="24"/>
          <w:szCs w:val="24"/>
        </w:rPr>
        <w:t>ed</w:t>
      </w:r>
      <w:r w:rsidRPr="00857141">
        <w:rPr>
          <w:rFonts w:cstheme="minorHAnsi"/>
          <w:sz w:val="24"/>
          <w:szCs w:val="24"/>
        </w:rPr>
        <w:t xml:space="preserve"> Policy 1150 – Field of Membership.  The second was again specific to federal credit unions and their </w:t>
      </w:r>
      <w:hyperlink r:id="rId6" w:history="1">
        <w:r w:rsidRPr="00857141">
          <w:rPr>
            <w:rStyle w:val="Hyperlink"/>
            <w:rFonts w:cstheme="minorHAnsi"/>
            <w:sz w:val="24"/>
            <w:szCs w:val="24"/>
          </w:rPr>
          <w:t>Occupancy, Planning, and Disposal of Acquired and Abandoned Premises</w:t>
        </w:r>
      </w:hyperlink>
      <w:r w:rsidRPr="00857141">
        <w:rPr>
          <w:rFonts w:cstheme="minorHAnsi"/>
          <w:sz w:val="24"/>
          <w:szCs w:val="24"/>
        </w:rPr>
        <w:t>.  These NCUA changes impacted Policy 5500 – Ownership of Fixed Assets.</w:t>
      </w:r>
    </w:p>
    <w:p w:rsidR="007837CD" w:rsidRPr="00857141" w:rsidRDefault="007837CD" w:rsidP="00B52136">
      <w:pPr>
        <w:rPr>
          <w:rFonts w:cstheme="minorHAnsi"/>
          <w:sz w:val="24"/>
          <w:szCs w:val="24"/>
        </w:rPr>
      </w:pPr>
      <w:r w:rsidRPr="00857141">
        <w:rPr>
          <w:rFonts w:cstheme="minorHAnsi"/>
          <w:sz w:val="24"/>
          <w:szCs w:val="24"/>
        </w:rPr>
        <w:t xml:space="preserve">The FFIEC (Federal Financial Institutions Examination Council) also came out with an updated </w:t>
      </w:r>
      <w:hyperlink r:id="rId7" w:history="1">
        <w:r w:rsidRPr="00857141">
          <w:rPr>
            <w:rStyle w:val="Hyperlink"/>
            <w:rFonts w:cstheme="minorHAnsi"/>
            <w:sz w:val="24"/>
            <w:szCs w:val="24"/>
          </w:rPr>
          <w:t>Uniform Interagency Consumer Compliance Rating System</w:t>
        </w:r>
      </w:hyperlink>
      <w:r w:rsidRPr="00857141">
        <w:rPr>
          <w:rFonts w:cstheme="minorHAnsi"/>
          <w:sz w:val="24"/>
          <w:szCs w:val="24"/>
        </w:rPr>
        <w:t xml:space="preserve"> for evaluating financial institutions’ adherence to consumer compliance requirements that becomes effective on March 31, 2017.  Although there were no additional </w:t>
      </w:r>
      <w:r w:rsidR="007D0FD6" w:rsidRPr="00857141">
        <w:rPr>
          <w:rFonts w:cstheme="minorHAnsi"/>
          <w:sz w:val="24"/>
          <w:szCs w:val="24"/>
        </w:rPr>
        <w:t xml:space="preserve">regulatory </w:t>
      </w:r>
      <w:r w:rsidRPr="00857141">
        <w:rPr>
          <w:rFonts w:cstheme="minorHAnsi"/>
          <w:sz w:val="24"/>
          <w:szCs w:val="24"/>
        </w:rPr>
        <w:t>requirements</w:t>
      </w:r>
      <w:r w:rsidR="007D0FD6" w:rsidRPr="00857141">
        <w:rPr>
          <w:rFonts w:cstheme="minorHAnsi"/>
          <w:sz w:val="24"/>
          <w:szCs w:val="24"/>
        </w:rPr>
        <w:t xml:space="preserve"> imposed with this revision</w:t>
      </w:r>
      <w:r w:rsidRPr="00857141">
        <w:rPr>
          <w:rFonts w:cstheme="minorHAnsi"/>
          <w:sz w:val="24"/>
          <w:szCs w:val="24"/>
        </w:rPr>
        <w:t>, Policy 1230 – Regulatory Compliance was updated to add</w:t>
      </w:r>
      <w:r w:rsidR="007D0FD6" w:rsidRPr="00857141">
        <w:rPr>
          <w:rFonts w:cstheme="minorHAnsi"/>
          <w:sz w:val="24"/>
          <w:szCs w:val="24"/>
        </w:rPr>
        <w:t xml:space="preserve">ress the revised supervisory expectation generally and the expectation for credit unions to have an </w:t>
      </w:r>
      <w:r w:rsidR="003D0F93" w:rsidRPr="00857141">
        <w:rPr>
          <w:rFonts w:cstheme="minorHAnsi"/>
          <w:sz w:val="24"/>
          <w:szCs w:val="24"/>
        </w:rPr>
        <w:t>effective compliance management system.</w:t>
      </w:r>
    </w:p>
    <w:p w:rsidR="00061545" w:rsidRPr="00857141" w:rsidRDefault="00061545" w:rsidP="002D1823">
      <w:pPr>
        <w:spacing w:after="0"/>
        <w:rPr>
          <w:rFonts w:cstheme="minorHAnsi"/>
          <w:b/>
          <w:sz w:val="24"/>
          <w:szCs w:val="24"/>
          <w:u w:val="single"/>
        </w:rPr>
      </w:pPr>
      <w:r w:rsidRPr="00857141">
        <w:rPr>
          <w:rFonts w:cstheme="minorHAnsi"/>
          <w:b/>
          <w:sz w:val="24"/>
          <w:szCs w:val="24"/>
          <w:u w:val="single"/>
        </w:rPr>
        <w:t>Policy Updates Summary</w:t>
      </w:r>
    </w:p>
    <w:p w:rsidR="00EC6CDB" w:rsidRPr="00857141" w:rsidRDefault="00EC6CDB" w:rsidP="002D1823">
      <w:pPr>
        <w:spacing w:after="0"/>
        <w:rPr>
          <w:rFonts w:cstheme="minorHAnsi"/>
          <w:sz w:val="24"/>
          <w:szCs w:val="24"/>
        </w:rPr>
      </w:pPr>
    </w:p>
    <w:p w:rsidR="00857141" w:rsidRPr="00857141" w:rsidRDefault="00857141" w:rsidP="00857141">
      <w:pPr>
        <w:spacing w:after="0"/>
        <w:rPr>
          <w:rFonts w:cstheme="minorHAnsi"/>
          <w:color w:val="FF0000"/>
          <w:sz w:val="24"/>
          <w:szCs w:val="24"/>
        </w:rPr>
      </w:pPr>
      <w:r w:rsidRPr="00857141">
        <w:rPr>
          <w:rFonts w:cstheme="minorHAnsi"/>
          <w:b/>
          <w:sz w:val="24"/>
          <w:szCs w:val="24"/>
          <w:u w:val="single"/>
        </w:rPr>
        <w:t>Policy 1150 – Field of Membership</w:t>
      </w:r>
    </w:p>
    <w:p w:rsidR="00857141" w:rsidRPr="00857141" w:rsidRDefault="00857141" w:rsidP="00857141">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2017-2</w:t>
      </w:r>
    </w:p>
    <w:p w:rsidR="00857141" w:rsidRPr="00857141" w:rsidRDefault="00857141" w:rsidP="00857141">
      <w:pPr>
        <w:pStyle w:val="Default"/>
        <w:rPr>
          <w:rFonts w:asciiTheme="minorHAnsi" w:hAnsiTheme="minorHAnsi" w:cstheme="minorHAnsi"/>
          <w:color w:val="FF0000"/>
        </w:rPr>
      </w:pPr>
      <w:r w:rsidRPr="00857141">
        <w:rPr>
          <w:rFonts w:asciiTheme="minorHAnsi" w:hAnsiTheme="minorHAnsi" w:cstheme="minorHAnsi"/>
          <w:color w:val="auto"/>
        </w:rPr>
        <w:t xml:space="preserve">Policy 1150 was amended to include changes made to the NCUA’s </w:t>
      </w:r>
      <w:hyperlink r:id="rId8" w:history="1">
        <w:r w:rsidRPr="00857141">
          <w:rPr>
            <w:rStyle w:val="Hyperlink"/>
            <w:rFonts w:asciiTheme="minorHAnsi" w:hAnsiTheme="minorHAnsi" w:cstheme="minorHAnsi"/>
          </w:rPr>
          <w:t>Chartering and Field of Membership Manual</w:t>
        </w:r>
      </w:hyperlink>
      <w:r w:rsidRPr="00857141">
        <w:rPr>
          <w:rFonts w:asciiTheme="minorHAnsi" w:hAnsiTheme="minorHAnsi" w:cstheme="minorHAnsi"/>
          <w:color w:val="auto"/>
        </w:rPr>
        <w:t xml:space="preserve">.  </w:t>
      </w:r>
      <w:r w:rsidRPr="00857141">
        <w:rPr>
          <w:rFonts w:asciiTheme="minorHAnsi" w:hAnsiTheme="minorHAnsi" w:cstheme="minorHAnsi"/>
          <w:color w:val="FF0000"/>
        </w:rPr>
        <w:t>(Recommended)</w:t>
      </w:r>
    </w:p>
    <w:p w:rsidR="00857141" w:rsidRPr="00857141" w:rsidRDefault="00857141" w:rsidP="00EB73E0">
      <w:pPr>
        <w:spacing w:after="0"/>
        <w:rPr>
          <w:rFonts w:cstheme="minorHAnsi"/>
          <w:b/>
          <w:sz w:val="24"/>
          <w:szCs w:val="24"/>
          <w:u w:val="single"/>
        </w:rPr>
      </w:pPr>
    </w:p>
    <w:p w:rsidR="00EB73E0" w:rsidRPr="00857141" w:rsidRDefault="00EB73E0" w:rsidP="00EB73E0">
      <w:pPr>
        <w:spacing w:after="0"/>
        <w:rPr>
          <w:rFonts w:cstheme="minorHAnsi"/>
          <w:color w:val="FF0000"/>
          <w:sz w:val="24"/>
          <w:szCs w:val="24"/>
        </w:rPr>
      </w:pPr>
      <w:r w:rsidRPr="00857141">
        <w:rPr>
          <w:rFonts w:cstheme="minorHAnsi"/>
          <w:b/>
          <w:sz w:val="24"/>
          <w:szCs w:val="24"/>
          <w:u w:val="single"/>
        </w:rPr>
        <w:t xml:space="preserve">Policy </w:t>
      </w:r>
      <w:r w:rsidR="003D0F93" w:rsidRPr="00857141">
        <w:rPr>
          <w:rFonts w:cstheme="minorHAnsi"/>
          <w:b/>
          <w:sz w:val="24"/>
          <w:szCs w:val="24"/>
          <w:u w:val="single"/>
        </w:rPr>
        <w:t>1230 – Regulatory Compliance</w:t>
      </w:r>
    </w:p>
    <w:p w:rsidR="00EB73E0" w:rsidRPr="00857141" w:rsidRDefault="003D0F93" w:rsidP="00EB73E0">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2017-2</w:t>
      </w:r>
    </w:p>
    <w:p w:rsidR="00EB73E0" w:rsidRPr="00857141" w:rsidRDefault="003D0F93" w:rsidP="00EB73E0">
      <w:pPr>
        <w:spacing w:after="0"/>
        <w:rPr>
          <w:rFonts w:cstheme="minorHAnsi"/>
          <w:color w:val="FF0000"/>
          <w:sz w:val="24"/>
          <w:szCs w:val="24"/>
        </w:rPr>
      </w:pPr>
      <w:r w:rsidRPr="00857141">
        <w:rPr>
          <w:rFonts w:cstheme="minorHAnsi"/>
          <w:sz w:val="24"/>
          <w:szCs w:val="24"/>
        </w:rPr>
        <w:t xml:space="preserve">With the FFIEC’s updated rating system to reflect their </w:t>
      </w:r>
      <w:hyperlink r:id="rId9" w:history="1">
        <w:r w:rsidRPr="00857141">
          <w:rPr>
            <w:rStyle w:val="Hyperlink"/>
            <w:rFonts w:cstheme="minorHAnsi"/>
            <w:sz w:val="24"/>
            <w:szCs w:val="24"/>
          </w:rPr>
          <w:t>current consumer compliance supervisory approaches</w:t>
        </w:r>
      </w:hyperlink>
      <w:r w:rsidRPr="00857141">
        <w:rPr>
          <w:rFonts w:cstheme="minorHAnsi"/>
          <w:sz w:val="24"/>
          <w:szCs w:val="24"/>
        </w:rPr>
        <w:t xml:space="preserve">, </w:t>
      </w:r>
      <w:r w:rsidR="004A722E" w:rsidRPr="00857141">
        <w:rPr>
          <w:rFonts w:cstheme="minorHAnsi"/>
          <w:sz w:val="24"/>
          <w:szCs w:val="24"/>
        </w:rPr>
        <w:t xml:space="preserve">Policy </w:t>
      </w:r>
      <w:r w:rsidRPr="00857141">
        <w:rPr>
          <w:rFonts w:cstheme="minorHAnsi"/>
          <w:sz w:val="24"/>
          <w:szCs w:val="24"/>
        </w:rPr>
        <w:t xml:space="preserve">1230 </w:t>
      </w:r>
      <w:r w:rsidR="004A722E" w:rsidRPr="00857141">
        <w:rPr>
          <w:rFonts w:cstheme="minorHAnsi"/>
          <w:sz w:val="24"/>
          <w:szCs w:val="24"/>
        </w:rPr>
        <w:t>was updated</w:t>
      </w:r>
      <w:r w:rsidRPr="00857141">
        <w:rPr>
          <w:rFonts w:cstheme="minorHAnsi"/>
          <w:sz w:val="24"/>
          <w:szCs w:val="24"/>
        </w:rPr>
        <w:t>.  There was more detail on the credit union’s compliance management system, including the necessity to be pro-active in identifying potential weakness and properly addressing those weaknesses, compliance review of third-party vendors and staying on top of regulatory changes and training staff accordingly</w:t>
      </w:r>
      <w:r w:rsidR="004A722E" w:rsidRPr="00857141">
        <w:rPr>
          <w:rFonts w:cstheme="minorHAnsi"/>
          <w:sz w:val="24"/>
          <w:szCs w:val="24"/>
        </w:rPr>
        <w:t>.</w:t>
      </w:r>
      <w:r w:rsidR="00B90BA1" w:rsidRPr="00857141">
        <w:rPr>
          <w:rFonts w:cstheme="minorHAnsi"/>
          <w:sz w:val="24"/>
          <w:szCs w:val="24"/>
        </w:rPr>
        <w:t xml:space="preserve">  </w:t>
      </w:r>
      <w:r w:rsidR="00B90FD6" w:rsidRPr="00857141">
        <w:rPr>
          <w:rFonts w:cstheme="minorHAnsi"/>
          <w:sz w:val="24"/>
          <w:szCs w:val="24"/>
        </w:rPr>
        <w:t xml:space="preserve">Additionally, </w:t>
      </w:r>
      <w:r w:rsidR="00E313FF" w:rsidRPr="00857141">
        <w:rPr>
          <w:rFonts w:cstheme="minorHAnsi"/>
          <w:sz w:val="24"/>
          <w:szCs w:val="24"/>
        </w:rPr>
        <w:t xml:space="preserve">an additional section was added to </w:t>
      </w:r>
      <w:r w:rsidR="00B90FD6" w:rsidRPr="00857141">
        <w:rPr>
          <w:rFonts w:cstheme="minorHAnsi"/>
          <w:sz w:val="24"/>
          <w:szCs w:val="24"/>
        </w:rPr>
        <w:t>cross-reference the Credit Union’s Complai</w:t>
      </w:r>
      <w:r w:rsidR="00E313FF" w:rsidRPr="00857141">
        <w:rPr>
          <w:rFonts w:cstheme="minorHAnsi"/>
          <w:sz w:val="24"/>
          <w:szCs w:val="24"/>
        </w:rPr>
        <w:t>nt policy, since this is a factor that examiners will be evaluating in the new consumer compliance rating system.</w:t>
      </w:r>
      <w:r w:rsidR="00857141" w:rsidRPr="00857141">
        <w:rPr>
          <w:rFonts w:cstheme="minorHAnsi"/>
          <w:sz w:val="24"/>
          <w:szCs w:val="24"/>
        </w:rPr>
        <w:t xml:space="preserve"> </w:t>
      </w:r>
      <w:r w:rsidR="00EB73E0" w:rsidRPr="00857141">
        <w:rPr>
          <w:rFonts w:cstheme="minorHAnsi"/>
          <w:color w:val="FF0000"/>
          <w:sz w:val="24"/>
          <w:szCs w:val="24"/>
        </w:rPr>
        <w:t>(Recommended)</w:t>
      </w:r>
    </w:p>
    <w:p w:rsidR="00EB73E0" w:rsidRPr="00857141" w:rsidRDefault="00EB73E0" w:rsidP="00FE6F1B">
      <w:pPr>
        <w:spacing w:after="0"/>
        <w:rPr>
          <w:rFonts w:cstheme="minorHAnsi"/>
          <w:b/>
          <w:sz w:val="24"/>
          <w:szCs w:val="24"/>
          <w:u w:val="single"/>
        </w:rPr>
      </w:pPr>
    </w:p>
    <w:p w:rsidR="00FE6F1B" w:rsidRPr="00857141" w:rsidRDefault="00FE6F1B" w:rsidP="00FE6F1B">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 xml:space="preserve">Policy </w:t>
      </w:r>
      <w:r w:rsidR="00936252" w:rsidRPr="00857141">
        <w:rPr>
          <w:rFonts w:asciiTheme="minorHAnsi" w:hAnsiTheme="minorHAnsi" w:cstheme="minorHAnsi"/>
          <w:b/>
          <w:color w:val="auto"/>
          <w:u w:val="single"/>
        </w:rPr>
        <w:t>5500</w:t>
      </w:r>
      <w:r w:rsidRPr="00857141">
        <w:rPr>
          <w:rFonts w:asciiTheme="minorHAnsi" w:hAnsiTheme="minorHAnsi" w:cstheme="minorHAnsi"/>
          <w:b/>
          <w:color w:val="auto"/>
          <w:u w:val="single"/>
        </w:rPr>
        <w:t xml:space="preserve"> – </w:t>
      </w:r>
      <w:r w:rsidR="00936252" w:rsidRPr="00857141">
        <w:rPr>
          <w:rFonts w:asciiTheme="minorHAnsi" w:hAnsiTheme="minorHAnsi" w:cstheme="minorHAnsi"/>
          <w:b/>
          <w:color w:val="auto"/>
          <w:u w:val="single"/>
        </w:rPr>
        <w:t>Ownership of Fixed Assets</w:t>
      </w:r>
    </w:p>
    <w:p w:rsidR="00FE6F1B" w:rsidRPr="00857141" w:rsidRDefault="00936252" w:rsidP="00FE6F1B">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2017-2</w:t>
      </w:r>
    </w:p>
    <w:p w:rsidR="00FE6F1B" w:rsidRPr="00857141" w:rsidRDefault="00936252" w:rsidP="00857141">
      <w:pPr>
        <w:pStyle w:val="Default"/>
        <w:rPr>
          <w:rFonts w:asciiTheme="minorHAnsi" w:hAnsiTheme="minorHAnsi" w:cstheme="minorHAnsi"/>
          <w:color w:val="FF0000"/>
        </w:rPr>
      </w:pPr>
      <w:r w:rsidRPr="00857141">
        <w:rPr>
          <w:rFonts w:asciiTheme="minorHAnsi" w:hAnsiTheme="minorHAnsi" w:cstheme="minorHAnsi"/>
          <w:color w:val="auto"/>
        </w:rPr>
        <w:t xml:space="preserve">The NCUA relaxed their rules on the </w:t>
      </w:r>
      <w:hyperlink r:id="rId10" w:history="1">
        <w:r w:rsidRPr="00857141">
          <w:rPr>
            <w:rStyle w:val="Hyperlink"/>
            <w:rFonts w:asciiTheme="minorHAnsi" w:hAnsiTheme="minorHAnsi" w:cstheme="minorHAnsi"/>
          </w:rPr>
          <w:t>occupancy requirements</w:t>
        </w:r>
      </w:hyperlink>
      <w:r w:rsidRPr="00857141">
        <w:rPr>
          <w:rFonts w:asciiTheme="minorHAnsi" w:hAnsiTheme="minorHAnsi" w:cstheme="minorHAnsi"/>
          <w:color w:val="auto"/>
        </w:rPr>
        <w:t xml:space="preserve"> for premises acquired for future expansion. Policy 5500 was updated to reflect those changes.</w:t>
      </w:r>
      <w:r w:rsidR="00857141" w:rsidRPr="00857141">
        <w:rPr>
          <w:rFonts w:asciiTheme="minorHAnsi" w:hAnsiTheme="minorHAnsi" w:cstheme="minorHAnsi"/>
          <w:color w:val="auto"/>
        </w:rPr>
        <w:t xml:space="preserve"> </w:t>
      </w:r>
      <w:r w:rsidR="00FE6F1B" w:rsidRPr="00857141">
        <w:rPr>
          <w:rFonts w:asciiTheme="minorHAnsi" w:hAnsiTheme="minorHAnsi" w:cstheme="minorHAnsi"/>
          <w:color w:val="FF0000"/>
        </w:rPr>
        <w:t>(Re</w:t>
      </w:r>
      <w:r w:rsidRPr="00857141">
        <w:rPr>
          <w:rFonts w:asciiTheme="minorHAnsi" w:hAnsiTheme="minorHAnsi" w:cstheme="minorHAnsi"/>
          <w:color w:val="FF0000"/>
        </w:rPr>
        <w:t>quired</w:t>
      </w:r>
      <w:r w:rsidR="00FE6F1B" w:rsidRPr="00857141">
        <w:rPr>
          <w:rFonts w:asciiTheme="minorHAnsi" w:hAnsiTheme="minorHAnsi" w:cstheme="minorHAnsi"/>
          <w:color w:val="FF0000"/>
        </w:rPr>
        <w:t>)</w:t>
      </w:r>
    </w:p>
    <w:p w:rsidR="00857141" w:rsidRPr="00857141" w:rsidRDefault="00857141" w:rsidP="00857141">
      <w:pPr>
        <w:pStyle w:val="Default"/>
        <w:rPr>
          <w:rFonts w:asciiTheme="minorHAnsi" w:hAnsiTheme="minorHAnsi" w:cstheme="minorHAnsi"/>
          <w:color w:val="FF0000"/>
        </w:rPr>
      </w:pPr>
    </w:p>
    <w:p w:rsidR="00936252" w:rsidRPr="00857141" w:rsidRDefault="00936252" w:rsidP="00FE6F1B">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Policy 7310 – Construction Loans</w:t>
      </w:r>
    </w:p>
    <w:p w:rsidR="00FE6F1B" w:rsidRPr="00857141" w:rsidRDefault="0077125D" w:rsidP="00FE6F1B">
      <w:pPr>
        <w:pStyle w:val="Default"/>
        <w:rPr>
          <w:rFonts w:asciiTheme="minorHAnsi" w:hAnsiTheme="minorHAnsi" w:cstheme="minorHAnsi"/>
          <w:b/>
          <w:color w:val="auto"/>
          <w:u w:val="single"/>
        </w:rPr>
      </w:pPr>
      <w:r w:rsidRPr="00857141">
        <w:rPr>
          <w:rFonts w:asciiTheme="minorHAnsi" w:hAnsiTheme="minorHAnsi" w:cstheme="minorHAnsi"/>
          <w:b/>
          <w:color w:val="auto"/>
          <w:u w:val="single"/>
        </w:rPr>
        <w:t>2</w:t>
      </w:r>
      <w:r w:rsidR="00936252" w:rsidRPr="00857141">
        <w:rPr>
          <w:rFonts w:asciiTheme="minorHAnsi" w:hAnsiTheme="minorHAnsi" w:cstheme="minorHAnsi"/>
          <w:b/>
          <w:color w:val="auto"/>
          <w:u w:val="single"/>
        </w:rPr>
        <w:t>017-2</w:t>
      </w:r>
    </w:p>
    <w:p w:rsidR="00FE6F1B" w:rsidRPr="00857141" w:rsidRDefault="00EC2122" w:rsidP="00FE6F1B">
      <w:pPr>
        <w:pStyle w:val="Default"/>
        <w:rPr>
          <w:rFonts w:asciiTheme="minorHAnsi" w:hAnsiTheme="minorHAnsi" w:cstheme="minorHAnsi"/>
          <w:color w:val="FF0000"/>
        </w:rPr>
      </w:pPr>
      <w:r w:rsidRPr="00857141">
        <w:rPr>
          <w:rFonts w:asciiTheme="minorHAnsi" w:hAnsiTheme="minorHAnsi" w:cstheme="minorHAnsi"/>
          <w:color w:val="auto"/>
        </w:rPr>
        <w:t xml:space="preserve">This policy was revised to </w:t>
      </w:r>
      <w:r w:rsidR="00936252" w:rsidRPr="00857141">
        <w:rPr>
          <w:rFonts w:asciiTheme="minorHAnsi" w:hAnsiTheme="minorHAnsi" w:cstheme="minorHAnsi"/>
          <w:color w:val="auto"/>
        </w:rPr>
        <w:t>include additional considerations when approving construction loans and also</w:t>
      </w:r>
      <w:r w:rsidR="004C5C8A" w:rsidRPr="00857141">
        <w:rPr>
          <w:rFonts w:asciiTheme="minorHAnsi" w:hAnsiTheme="minorHAnsi" w:cstheme="minorHAnsi"/>
          <w:color w:val="auto"/>
        </w:rPr>
        <w:t xml:space="preserve"> compliance</w:t>
      </w:r>
      <w:r w:rsidR="00936252" w:rsidRPr="00857141">
        <w:rPr>
          <w:rFonts w:asciiTheme="minorHAnsi" w:hAnsiTheme="minorHAnsi" w:cstheme="minorHAnsi"/>
          <w:color w:val="auto"/>
        </w:rPr>
        <w:t xml:space="preserve"> with the integrated mortgage disclosures.</w:t>
      </w:r>
      <w:r w:rsidR="00857141">
        <w:rPr>
          <w:rFonts w:asciiTheme="minorHAnsi" w:hAnsiTheme="minorHAnsi" w:cstheme="minorHAnsi"/>
          <w:color w:val="auto"/>
        </w:rPr>
        <w:t xml:space="preserve">  </w:t>
      </w:r>
      <w:r w:rsidR="00FE6F1B" w:rsidRPr="00857141">
        <w:rPr>
          <w:rFonts w:asciiTheme="minorHAnsi" w:hAnsiTheme="minorHAnsi" w:cstheme="minorHAnsi"/>
          <w:color w:val="FF0000"/>
        </w:rPr>
        <w:t>(Recommended)</w:t>
      </w:r>
    </w:p>
    <w:p w:rsidR="00FE6F1B" w:rsidRPr="00857141" w:rsidRDefault="00FE6F1B" w:rsidP="002D1823">
      <w:pPr>
        <w:spacing w:after="0"/>
        <w:rPr>
          <w:rFonts w:cstheme="minorHAnsi"/>
          <w:b/>
          <w:sz w:val="24"/>
          <w:szCs w:val="24"/>
          <w:u w:val="single"/>
        </w:rPr>
      </w:pPr>
    </w:p>
    <w:p w:rsidR="00A03351" w:rsidRPr="00857141" w:rsidRDefault="00F96232" w:rsidP="00046168">
      <w:pPr>
        <w:spacing w:after="0"/>
        <w:rPr>
          <w:rFonts w:cstheme="minorHAnsi"/>
          <w:b/>
          <w:sz w:val="24"/>
          <w:szCs w:val="24"/>
          <w:u w:val="single"/>
        </w:rPr>
      </w:pPr>
      <w:r w:rsidRPr="00857141">
        <w:rPr>
          <w:rFonts w:cstheme="minorHAnsi"/>
          <w:b/>
          <w:sz w:val="24"/>
          <w:szCs w:val="24"/>
          <w:u w:val="single"/>
        </w:rPr>
        <w:t>Policy</w:t>
      </w:r>
      <w:r w:rsidR="00936252" w:rsidRPr="00857141">
        <w:rPr>
          <w:rFonts w:cstheme="minorHAnsi"/>
          <w:b/>
          <w:sz w:val="24"/>
          <w:szCs w:val="24"/>
          <w:u w:val="single"/>
        </w:rPr>
        <w:t xml:space="preserve"> 7520 – Collection Staff Members Responsibilities</w:t>
      </w:r>
    </w:p>
    <w:p w:rsidR="00F96232" w:rsidRPr="00857141" w:rsidRDefault="00936252" w:rsidP="00046168">
      <w:pPr>
        <w:spacing w:after="0"/>
        <w:rPr>
          <w:rFonts w:cstheme="minorHAnsi"/>
          <w:b/>
          <w:sz w:val="24"/>
          <w:szCs w:val="24"/>
          <w:u w:val="single"/>
        </w:rPr>
      </w:pPr>
      <w:r w:rsidRPr="00857141">
        <w:rPr>
          <w:rFonts w:cstheme="minorHAnsi"/>
          <w:b/>
          <w:sz w:val="24"/>
          <w:szCs w:val="24"/>
          <w:u w:val="single"/>
        </w:rPr>
        <w:t>2017-2</w:t>
      </w:r>
    </w:p>
    <w:p w:rsidR="00F96232" w:rsidRPr="00857141" w:rsidRDefault="00D212CF" w:rsidP="00F96232">
      <w:pPr>
        <w:spacing w:after="0"/>
        <w:rPr>
          <w:rFonts w:cstheme="minorHAnsi"/>
          <w:color w:val="FF0000"/>
          <w:sz w:val="24"/>
          <w:szCs w:val="24"/>
        </w:rPr>
      </w:pPr>
      <w:r w:rsidRPr="00857141">
        <w:rPr>
          <w:rFonts w:cstheme="minorHAnsi"/>
          <w:sz w:val="24"/>
          <w:szCs w:val="24"/>
        </w:rPr>
        <w:t>Policy 7</w:t>
      </w:r>
      <w:r w:rsidR="00F96232" w:rsidRPr="00857141">
        <w:rPr>
          <w:rFonts w:cstheme="minorHAnsi"/>
          <w:sz w:val="24"/>
          <w:szCs w:val="24"/>
        </w:rPr>
        <w:t>5</w:t>
      </w:r>
      <w:r w:rsidRPr="00857141">
        <w:rPr>
          <w:rFonts w:cstheme="minorHAnsi"/>
          <w:sz w:val="24"/>
          <w:szCs w:val="24"/>
        </w:rPr>
        <w:t>2</w:t>
      </w:r>
      <w:r w:rsidR="00F96232" w:rsidRPr="00857141">
        <w:rPr>
          <w:rFonts w:cstheme="minorHAnsi"/>
          <w:sz w:val="24"/>
          <w:szCs w:val="24"/>
        </w:rPr>
        <w:t xml:space="preserve">0 was revised to </w:t>
      </w:r>
      <w:r w:rsidRPr="00857141">
        <w:rPr>
          <w:rFonts w:cstheme="minorHAnsi"/>
          <w:sz w:val="24"/>
          <w:szCs w:val="24"/>
        </w:rPr>
        <w:t>correct an error in “Training/Education” (section 5) that incorrectly indicate</w:t>
      </w:r>
      <w:r w:rsidR="004C5C8A" w:rsidRPr="00857141">
        <w:rPr>
          <w:rFonts w:cstheme="minorHAnsi"/>
          <w:sz w:val="24"/>
          <w:szCs w:val="24"/>
        </w:rPr>
        <w:t>d</w:t>
      </w:r>
      <w:r w:rsidRPr="00857141">
        <w:rPr>
          <w:rFonts w:cstheme="minorHAnsi"/>
          <w:sz w:val="24"/>
          <w:szCs w:val="24"/>
        </w:rPr>
        <w:t xml:space="preserve"> that collection staff would receive “regulator” training.  The sentence should indicate that collection staff will receive “regular” training that is tailored to the relevant employee and the specific responsibilities of their role.</w:t>
      </w:r>
      <w:r w:rsidR="00B90BA1" w:rsidRPr="00857141">
        <w:rPr>
          <w:rFonts w:cstheme="minorHAnsi"/>
          <w:sz w:val="24"/>
          <w:szCs w:val="24"/>
        </w:rPr>
        <w:t xml:space="preserve"> </w:t>
      </w:r>
      <w:r w:rsidR="00857141">
        <w:rPr>
          <w:rFonts w:cstheme="minorHAnsi"/>
          <w:sz w:val="24"/>
          <w:szCs w:val="24"/>
        </w:rPr>
        <w:t xml:space="preserve">  </w:t>
      </w:r>
      <w:r w:rsidR="00F96232" w:rsidRPr="00857141">
        <w:rPr>
          <w:rFonts w:cstheme="minorHAnsi"/>
          <w:color w:val="FF0000"/>
          <w:sz w:val="24"/>
          <w:szCs w:val="24"/>
        </w:rPr>
        <w:t>(</w:t>
      </w:r>
      <w:r w:rsidR="00936252" w:rsidRPr="00857141">
        <w:rPr>
          <w:rFonts w:cstheme="minorHAnsi"/>
          <w:color w:val="FF0000"/>
          <w:sz w:val="24"/>
          <w:szCs w:val="24"/>
        </w:rPr>
        <w:t>Recommended</w:t>
      </w:r>
      <w:r w:rsidR="00F96232" w:rsidRPr="00857141">
        <w:rPr>
          <w:rFonts w:cstheme="minorHAnsi"/>
          <w:color w:val="FF0000"/>
          <w:sz w:val="24"/>
          <w:szCs w:val="24"/>
        </w:rPr>
        <w:t>)</w:t>
      </w:r>
    </w:p>
    <w:p w:rsidR="00D70B2C" w:rsidRPr="00857141" w:rsidRDefault="00D70B2C" w:rsidP="00F96232">
      <w:pPr>
        <w:spacing w:after="0"/>
        <w:rPr>
          <w:rFonts w:cstheme="minorHAnsi"/>
          <w:color w:val="FF0000"/>
          <w:sz w:val="24"/>
          <w:szCs w:val="24"/>
        </w:rPr>
      </w:pPr>
    </w:p>
    <w:p w:rsidR="00B73E3F" w:rsidRPr="00857141" w:rsidRDefault="00B73E3F" w:rsidP="00B73E3F">
      <w:pPr>
        <w:spacing w:after="0"/>
        <w:rPr>
          <w:rFonts w:cstheme="minorHAnsi"/>
          <w:b/>
          <w:sz w:val="24"/>
          <w:szCs w:val="24"/>
          <w:u w:val="single"/>
        </w:rPr>
      </w:pPr>
      <w:r w:rsidRPr="00857141">
        <w:rPr>
          <w:rFonts w:cstheme="minorHAnsi"/>
          <w:b/>
          <w:sz w:val="24"/>
          <w:szCs w:val="24"/>
          <w:u w:val="single"/>
        </w:rPr>
        <w:t>Policy 10004 – Table 4 – Electronic Funds Transfer Records</w:t>
      </w:r>
    </w:p>
    <w:p w:rsidR="00B73E3F" w:rsidRPr="00857141" w:rsidRDefault="00B73E3F" w:rsidP="00B73E3F">
      <w:pPr>
        <w:spacing w:after="0"/>
        <w:rPr>
          <w:rFonts w:cstheme="minorHAnsi"/>
          <w:b/>
          <w:sz w:val="24"/>
          <w:szCs w:val="24"/>
          <w:u w:val="single"/>
        </w:rPr>
      </w:pPr>
      <w:r w:rsidRPr="00857141">
        <w:rPr>
          <w:rFonts w:cstheme="minorHAnsi"/>
          <w:b/>
          <w:sz w:val="24"/>
          <w:szCs w:val="24"/>
          <w:u w:val="single"/>
        </w:rPr>
        <w:t>2017-2</w:t>
      </w:r>
    </w:p>
    <w:p w:rsidR="00B73E3F" w:rsidRPr="00857141" w:rsidRDefault="00FF2BAE" w:rsidP="00B73E3F">
      <w:pPr>
        <w:spacing w:after="0"/>
        <w:rPr>
          <w:rFonts w:cstheme="minorHAnsi"/>
          <w:color w:val="FF0000"/>
          <w:sz w:val="24"/>
          <w:szCs w:val="24"/>
        </w:rPr>
      </w:pPr>
      <w:r w:rsidRPr="00857141">
        <w:rPr>
          <w:rFonts w:cstheme="minorHAnsi"/>
          <w:sz w:val="24"/>
          <w:szCs w:val="24"/>
        </w:rPr>
        <w:t>Policy 10004 was revised to correct an error of inversed numbers on a regulatory citation.  The correct reference to record retention in Regulation E is 1005.13.</w:t>
      </w:r>
      <w:r w:rsidR="00857141">
        <w:rPr>
          <w:rFonts w:cstheme="minorHAnsi"/>
          <w:sz w:val="24"/>
          <w:szCs w:val="24"/>
        </w:rPr>
        <w:t xml:space="preserve">  </w:t>
      </w:r>
      <w:r w:rsidR="00B73E3F" w:rsidRPr="00857141">
        <w:rPr>
          <w:rFonts w:cstheme="minorHAnsi"/>
          <w:color w:val="FF0000"/>
          <w:sz w:val="24"/>
          <w:szCs w:val="24"/>
        </w:rPr>
        <w:t>(Recommended)</w:t>
      </w:r>
    </w:p>
    <w:p w:rsidR="00B73E3F" w:rsidRPr="00857141" w:rsidRDefault="00B73E3F" w:rsidP="00F96232">
      <w:pPr>
        <w:spacing w:after="0"/>
        <w:rPr>
          <w:rFonts w:cstheme="minorHAnsi"/>
          <w:color w:val="FF0000"/>
          <w:sz w:val="24"/>
          <w:szCs w:val="24"/>
        </w:rPr>
      </w:pPr>
    </w:p>
    <w:sectPr w:rsidR="00B73E3F" w:rsidRPr="00857141" w:rsidSect="00B90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557B"/>
    <w:rsid w:val="000106B2"/>
    <w:rsid w:val="00013026"/>
    <w:rsid w:val="00014B57"/>
    <w:rsid w:val="000200F1"/>
    <w:rsid w:val="00021C22"/>
    <w:rsid w:val="00023FAB"/>
    <w:rsid w:val="000315F8"/>
    <w:rsid w:val="00036400"/>
    <w:rsid w:val="00036F5A"/>
    <w:rsid w:val="00046168"/>
    <w:rsid w:val="0004761E"/>
    <w:rsid w:val="00051FA8"/>
    <w:rsid w:val="0005660F"/>
    <w:rsid w:val="00056718"/>
    <w:rsid w:val="00061545"/>
    <w:rsid w:val="00067B62"/>
    <w:rsid w:val="00070AE7"/>
    <w:rsid w:val="00074839"/>
    <w:rsid w:val="000755E7"/>
    <w:rsid w:val="00080D3A"/>
    <w:rsid w:val="000811F3"/>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5EF"/>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B20CA"/>
    <w:rsid w:val="001B38F4"/>
    <w:rsid w:val="001B4DCC"/>
    <w:rsid w:val="001C50D8"/>
    <w:rsid w:val="001D376F"/>
    <w:rsid w:val="001D4B3E"/>
    <w:rsid w:val="001E0DE6"/>
    <w:rsid w:val="001E5678"/>
    <w:rsid w:val="001F143C"/>
    <w:rsid w:val="001F23BF"/>
    <w:rsid w:val="001F3E1A"/>
    <w:rsid w:val="002019D5"/>
    <w:rsid w:val="0020263F"/>
    <w:rsid w:val="00207BD1"/>
    <w:rsid w:val="002112F0"/>
    <w:rsid w:val="00211A86"/>
    <w:rsid w:val="0021217B"/>
    <w:rsid w:val="00216198"/>
    <w:rsid w:val="00220082"/>
    <w:rsid w:val="0022236F"/>
    <w:rsid w:val="002364CB"/>
    <w:rsid w:val="00245233"/>
    <w:rsid w:val="00250369"/>
    <w:rsid w:val="00255644"/>
    <w:rsid w:val="00262A25"/>
    <w:rsid w:val="00271634"/>
    <w:rsid w:val="00285927"/>
    <w:rsid w:val="00285F20"/>
    <w:rsid w:val="002925C1"/>
    <w:rsid w:val="00294923"/>
    <w:rsid w:val="002A13A4"/>
    <w:rsid w:val="002A262C"/>
    <w:rsid w:val="002B4DDE"/>
    <w:rsid w:val="002B5230"/>
    <w:rsid w:val="002B54E5"/>
    <w:rsid w:val="002B7C4D"/>
    <w:rsid w:val="002C3E12"/>
    <w:rsid w:val="002C6577"/>
    <w:rsid w:val="002D1823"/>
    <w:rsid w:val="002D55B6"/>
    <w:rsid w:val="002E41DB"/>
    <w:rsid w:val="00302A2A"/>
    <w:rsid w:val="00304E16"/>
    <w:rsid w:val="00317A11"/>
    <w:rsid w:val="00317B45"/>
    <w:rsid w:val="00324F95"/>
    <w:rsid w:val="00336997"/>
    <w:rsid w:val="0033754E"/>
    <w:rsid w:val="003437B4"/>
    <w:rsid w:val="0035450C"/>
    <w:rsid w:val="00354E7B"/>
    <w:rsid w:val="0036254E"/>
    <w:rsid w:val="00363693"/>
    <w:rsid w:val="00373A26"/>
    <w:rsid w:val="003922D3"/>
    <w:rsid w:val="003948E3"/>
    <w:rsid w:val="003957E3"/>
    <w:rsid w:val="003A096C"/>
    <w:rsid w:val="003A24A8"/>
    <w:rsid w:val="003B76CF"/>
    <w:rsid w:val="003C3BF2"/>
    <w:rsid w:val="003C50F3"/>
    <w:rsid w:val="003C6421"/>
    <w:rsid w:val="003C7772"/>
    <w:rsid w:val="003D0F93"/>
    <w:rsid w:val="003D6804"/>
    <w:rsid w:val="003E390B"/>
    <w:rsid w:val="003E5DB4"/>
    <w:rsid w:val="003F699B"/>
    <w:rsid w:val="00403D7A"/>
    <w:rsid w:val="0041378D"/>
    <w:rsid w:val="004150D9"/>
    <w:rsid w:val="0041662E"/>
    <w:rsid w:val="0042683F"/>
    <w:rsid w:val="004336BD"/>
    <w:rsid w:val="00433EF0"/>
    <w:rsid w:val="00434F4C"/>
    <w:rsid w:val="00440E8C"/>
    <w:rsid w:val="00442B0C"/>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5C8A"/>
    <w:rsid w:val="004C7FB4"/>
    <w:rsid w:val="004D3048"/>
    <w:rsid w:val="004D79B0"/>
    <w:rsid w:val="004F0AD5"/>
    <w:rsid w:val="004F11B2"/>
    <w:rsid w:val="004F73DA"/>
    <w:rsid w:val="00500F85"/>
    <w:rsid w:val="00503B1C"/>
    <w:rsid w:val="00503C98"/>
    <w:rsid w:val="0051031B"/>
    <w:rsid w:val="005200EE"/>
    <w:rsid w:val="00523EE0"/>
    <w:rsid w:val="00525093"/>
    <w:rsid w:val="00532FC6"/>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D21FE"/>
    <w:rsid w:val="005D3449"/>
    <w:rsid w:val="005E0B0E"/>
    <w:rsid w:val="005E19F2"/>
    <w:rsid w:val="005F422A"/>
    <w:rsid w:val="0060371C"/>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33B1"/>
    <w:rsid w:val="006D6769"/>
    <w:rsid w:val="006E24B3"/>
    <w:rsid w:val="006F2F2F"/>
    <w:rsid w:val="006F4AB0"/>
    <w:rsid w:val="007015C0"/>
    <w:rsid w:val="00701F78"/>
    <w:rsid w:val="007075F0"/>
    <w:rsid w:val="00721A21"/>
    <w:rsid w:val="007268EA"/>
    <w:rsid w:val="007344A8"/>
    <w:rsid w:val="00736B7D"/>
    <w:rsid w:val="00736D4C"/>
    <w:rsid w:val="0074024B"/>
    <w:rsid w:val="00745E5F"/>
    <w:rsid w:val="007462AE"/>
    <w:rsid w:val="00752D47"/>
    <w:rsid w:val="007607C6"/>
    <w:rsid w:val="00765780"/>
    <w:rsid w:val="0077125D"/>
    <w:rsid w:val="00777238"/>
    <w:rsid w:val="007837CD"/>
    <w:rsid w:val="007862A9"/>
    <w:rsid w:val="007915F9"/>
    <w:rsid w:val="0079185B"/>
    <w:rsid w:val="00796FA6"/>
    <w:rsid w:val="007D0FD6"/>
    <w:rsid w:val="007E3A54"/>
    <w:rsid w:val="007E3E35"/>
    <w:rsid w:val="007E48FD"/>
    <w:rsid w:val="007E6E43"/>
    <w:rsid w:val="007F0523"/>
    <w:rsid w:val="00800355"/>
    <w:rsid w:val="00802662"/>
    <w:rsid w:val="0080331E"/>
    <w:rsid w:val="00806885"/>
    <w:rsid w:val="00807413"/>
    <w:rsid w:val="0082498F"/>
    <w:rsid w:val="00834200"/>
    <w:rsid w:val="00836C99"/>
    <w:rsid w:val="00841393"/>
    <w:rsid w:val="008428BD"/>
    <w:rsid w:val="00846D68"/>
    <w:rsid w:val="00857141"/>
    <w:rsid w:val="00857E3F"/>
    <w:rsid w:val="00861803"/>
    <w:rsid w:val="008644E7"/>
    <w:rsid w:val="00866E5D"/>
    <w:rsid w:val="008714FD"/>
    <w:rsid w:val="00872BBC"/>
    <w:rsid w:val="00875714"/>
    <w:rsid w:val="008815A4"/>
    <w:rsid w:val="00883718"/>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235C5"/>
    <w:rsid w:val="00923A41"/>
    <w:rsid w:val="00924E86"/>
    <w:rsid w:val="00926067"/>
    <w:rsid w:val="0093058B"/>
    <w:rsid w:val="00934CEB"/>
    <w:rsid w:val="00936252"/>
    <w:rsid w:val="0093734C"/>
    <w:rsid w:val="009514F0"/>
    <w:rsid w:val="00951ABD"/>
    <w:rsid w:val="009523BB"/>
    <w:rsid w:val="00963321"/>
    <w:rsid w:val="009674A5"/>
    <w:rsid w:val="0097362F"/>
    <w:rsid w:val="0097466A"/>
    <w:rsid w:val="00980E72"/>
    <w:rsid w:val="009821CE"/>
    <w:rsid w:val="0098222A"/>
    <w:rsid w:val="00984E09"/>
    <w:rsid w:val="00985550"/>
    <w:rsid w:val="009930F1"/>
    <w:rsid w:val="009A4C1F"/>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632FF"/>
    <w:rsid w:val="00A66EBE"/>
    <w:rsid w:val="00A719B9"/>
    <w:rsid w:val="00A763E1"/>
    <w:rsid w:val="00AA0106"/>
    <w:rsid w:val="00AA3F29"/>
    <w:rsid w:val="00AA5B1A"/>
    <w:rsid w:val="00AA7553"/>
    <w:rsid w:val="00AB0A58"/>
    <w:rsid w:val="00AB7419"/>
    <w:rsid w:val="00AC4E47"/>
    <w:rsid w:val="00AD0567"/>
    <w:rsid w:val="00AE13DC"/>
    <w:rsid w:val="00AF12D8"/>
    <w:rsid w:val="00AF3DED"/>
    <w:rsid w:val="00AF5779"/>
    <w:rsid w:val="00B04FC4"/>
    <w:rsid w:val="00B25593"/>
    <w:rsid w:val="00B32571"/>
    <w:rsid w:val="00B513B6"/>
    <w:rsid w:val="00B51894"/>
    <w:rsid w:val="00B52136"/>
    <w:rsid w:val="00B563E1"/>
    <w:rsid w:val="00B577DF"/>
    <w:rsid w:val="00B60BBA"/>
    <w:rsid w:val="00B659C4"/>
    <w:rsid w:val="00B66CF6"/>
    <w:rsid w:val="00B67303"/>
    <w:rsid w:val="00B73E3F"/>
    <w:rsid w:val="00B77694"/>
    <w:rsid w:val="00B81F9D"/>
    <w:rsid w:val="00B842D4"/>
    <w:rsid w:val="00B90BA1"/>
    <w:rsid w:val="00B90FD6"/>
    <w:rsid w:val="00B9127B"/>
    <w:rsid w:val="00B94637"/>
    <w:rsid w:val="00BA1F65"/>
    <w:rsid w:val="00BA26B2"/>
    <w:rsid w:val="00BA430F"/>
    <w:rsid w:val="00BB0AED"/>
    <w:rsid w:val="00BB140A"/>
    <w:rsid w:val="00BB59B8"/>
    <w:rsid w:val="00BC51D5"/>
    <w:rsid w:val="00BD1B72"/>
    <w:rsid w:val="00BD4441"/>
    <w:rsid w:val="00BE0DFF"/>
    <w:rsid w:val="00BE3E26"/>
    <w:rsid w:val="00BF1530"/>
    <w:rsid w:val="00BF501E"/>
    <w:rsid w:val="00C02A7B"/>
    <w:rsid w:val="00C14330"/>
    <w:rsid w:val="00C15BB8"/>
    <w:rsid w:val="00C21218"/>
    <w:rsid w:val="00C21422"/>
    <w:rsid w:val="00C21978"/>
    <w:rsid w:val="00C2260D"/>
    <w:rsid w:val="00C22AD6"/>
    <w:rsid w:val="00C250D5"/>
    <w:rsid w:val="00C2705D"/>
    <w:rsid w:val="00C30421"/>
    <w:rsid w:val="00C364D2"/>
    <w:rsid w:val="00C44706"/>
    <w:rsid w:val="00C53582"/>
    <w:rsid w:val="00C567E8"/>
    <w:rsid w:val="00C57F9B"/>
    <w:rsid w:val="00C64F2C"/>
    <w:rsid w:val="00C7600B"/>
    <w:rsid w:val="00C80027"/>
    <w:rsid w:val="00C87CA8"/>
    <w:rsid w:val="00C940C8"/>
    <w:rsid w:val="00CB6433"/>
    <w:rsid w:val="00CB7D30"/>
    <w:rsid w:val="00CC1E6E"/>
    <w:rsid w:val="00CD6D27"/>
    <w:rsid w:val="00CE7F1A"/>
    <w:rsid w:val="00CF13FC"/>
    <w:rsid w:val="00D15BFB"/>
    <w:rsid w:val="00D15EB1"/>
    <w:rsid w:val="00D2065B"/>
    <w:rsid w:val="00D212CF"/>
    <w:rsid w:val="00D356EE"/>
    <w:rsid w:val="00D46A66"/>
    <w:rsid w:val="00D47ADC"/>
    <w:rsid w:val="00D52AFA"/>
    <w:rsid w:val="00D603ED"/>
    <w:rsid w:val="00D62DA6"/>
    <w:rsid w:val="00D70B2C"/>
    <w:rsid w:val="00D72903"/>
    <w:rsid w:val="00D83E33"/>
    <w:rsid w:val="00D85BE1"/>
    <w:rsid w:val="00D92AE7"/>
    <w:rsid w:val="00D94E6D"/>
    <w:rsid w:val="00D94F80"/>
    <w:rsid w:val="00D95A72"/>
    <w:rsid w:val="00DA40ED"/>
    <w:rsid w:val="00DA5E05"/>
    <w:rsid w:val="00DC60F2"/>
    <w:rsid w:val="00DD4809"/>
    <w:rsid w:val="00DD4AD7"/>
    <w:rsid w:val="00DE05A2"/>
    <w:rsid w:val="00DE3201"/>
    <w:rsid w:val="00DF02AD"/>
    <w:rsid w:val="00DF383E"/>
    <w:rsid w:val="00E04720"/>
    <w:rsid w:val="00E05AF5"/>
    <w:rsid w:val="00E104E2"/>
    <w:rsid w:val="00E1279A"/>
    <w:rsid w:val="00E14527"/>
    <w:rsid w:val="00E22808"/>
    <w:rsid w:val="00E2597A"/>
    <w:rsid w:val="00E313FF"/>
    <w:rsid w:val="00E32B47"/>
    <w:rsid w:val="00E33491"/>
    <w:rsid w:val="00E33782"/>
    <w:rsid w:val="00E34BA5"/>
    <w:rsid w:val="00E35FA8"/>
    <w:rsid w:val="00E37C05"/>
    <w:rsid w:val="00E40AC8"/>
    <w:rsid w:val="00E46C44"/>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31B4"/>
    <w:rsid w:val="00F109F1"/>
    <w:rsid w:val="00F21436"/>
    <w:rsid w:val="00F30B7A"/>
    <w:rsid w:val="00F42D3D"/>
    <w:rsid w:val="00F4480E"/>
    <w:rsid w:val="00F54F33"/>
    <w:rsid w:val="00F609AE"/>
    <w:rsid w:val="00F63104"/>
    <w:rsid w:val="00F63D61"/>
    <w:rsid w:val="00F87A23"/>
    <w:rsid w:val="00F92157"/>
    <w:rsid w:val="00F96232"/>
    <w:rsid w:val="00F9641C"/>
    <w:rsid w:val="00F97BF4"/>
    <w:rsid w:val="00FA62F2"/>
    <w:rsid w:val="00FB0D7B"/>
    <w:rsid w:val="00FC0BBD"/>
    <w:rsid w:val="00FC425B"/>
    <w:rsid w:val="00FD39F7"/>
    <w:rsid w:val="00FE207A"/>
    <w:rsid w:val="00FE6F1B"/>
    <w:rsid w:val="00FF2BAE"/>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ua.gov/regulation-supervision/Documents/Regulations/final-rule-chartering-field-membership-manual.pdf" TargetMode="External"/><Relationship Id="rId3" Type="http://schemas.openxmlformats.org/officeDocument/2006/relationships/settings" Target="settings.xml"/><Relationship Id="rId7" Type="http://schemas.openxmlformats.org/officeDocument/2006/relationships/hyperlink" Target="https://www.ffiec.gov/press/pr1107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ua.gov/regulation-supervision/Documents/Regulations/final-occupancy-dec-2016.pdf" TargetMode="External"/><Relationship Id="rId11" Type="http://schemas.openxmlformats.org/officeDocument/2006/relationships/fontTable" Target="fontTable.xml"/><Relationship Id="rId5" Type="http://schemas.openxmlformats.org/officeDocument/2006/relationships/hyperlink" Target="https://www.ncua.gov/regulation-supervision/Documents/Regulations/final-rule-chartering-field-membership-manual.pdf" TargetMode="External"/><Relationship Id="rId10" Type="http://schemas.openxmlformats.org/officeDocument/2006/relationships/hyperlink" Target="https://www.ncua.gov/regulation-supervision/Documents/Regulations/final-occupancy-dec-2016.pdf" TargetMode="External"/><Relationship Id="rId4" Type="http://schemas.openxmlformats.org/officeDocument/2006/relationships/webSettings" Target="webSettings.xml"/><Relationship Id="rId9" Type="http://schemas.openxmlformats.org/officeDocument/2006/relationships/hyperlink" Target="https://www.ffiec.gov/press/pr1107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2</cp:revision>
  <cp:lastPrinted>2014-12-03T13:21:00Z</cp:lastPrinted>
  <dcterms:created xsi:type="dcterms:W3CDTF">2017-03-28T15:12:00Z</dcterms:created>
  <dcterms:modified xsi:type="dcterms:W3CDTF">2017-03-28T15:12:00Z</dcterms:modified>
</cp:coreProperties>
</file>